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AAF" w:rsidRPr="00DE0A28" w:rsidRDefault="008A69B3">
      <w:pPr>
        <w:rPr>
          <w:sz w:val="40"/>
          <w:szCs w:val="40"/>
        </w:rPr>
      </w:pPr>
      <w:bookmarkStart w:id="0" w:name="_GoBack"/>
      <w:bookmarkEnd w:id="0"/>
      <w:r>
        <w:rPr>
          <w:b/>
          <w:sz w:val="40"/>
          <w:szCs w:val="40"/>
        </w:rPr>
        <w:t>AVISO A LOS PACIENTES:</w:t>
      </w:r>
      <w:r>
        <w:rPr>
          <w:sz w:val="40"/>
          <w:szCs w:val="40"/>
        </w:rPr>
        <w:t xml:space="preserve"> </w:t>
      </w:r>
      <w:r>
        <w:rPr>
          <w:b/>
          <w:sz w:val="40"/>
          <w:szCs w:val="40"/>
        </w:rPr>
        <w:t>Nuevos límites para recetas para medicamentos para el dolor agudo y postoperatorio.</w:t>
      </w:r>
    </w:p>
    <w:p w:rsidR="008A69B3" w:rsidRPr="00DE0A28" w:rsidRDefault="008A69B3">
      <w:pPr>
        <w:rPr>
          <w:sz w:val="24"/>
          <w:szCs w:val="24"/>
        </w:rPr>
      </w:pPr>
    </w:p>
    <w:p w:rsidR="008C4AAF" w:rsidRPr="00DD06DF" w:rsidRDefault="008C4AAF">
      <w:pPr>
        <w:rPr>
          <w:sz w:val="24"/>
          <w:szCs w:val="24"/>
        </w:rPr>
      </w:pPr>
      <w:r>
        <w:rPr>
          <w:sz w:val="24"/>
          <w:szCs w:val="24"/>
        </w:rPr>
        <w:t xml:space="preserve">A partir del 1 de enero de 2018, la ley de Carolina del Norte (la Ley STOP del 2017) limita la cantidad de medicamento para el dolor que puede ser recetado para el tratamiento del dolor de la mayoría de las lesiones y cirugías. </w:t>
      </w:r>
    </w:p>
    <w:p w:rsidR="008C4AAF" w:rsidRPr="00DD06DF" w:rsidRDefault="008C4AAF">
      <w:pPr>
        <w:rPr>
          <w:sz w:val="24"/>
          <w:szCs w:val="24"/>
        </w:rPr>
      </w:pPr>
    </w:p>
    <w:p w:rsidR="008C4AAF" w:rsidRPr="00DD06DF" w:rsidRDefault="008C4AAF">
      <w:pPr>
        <w:rPr>
          <w:b/>
          <w:sz w:val="24"/>
          <w:szCs w:val="24"/>
        </w:rPr>
      </w:pPr>
      <w:r>
        <w:rPr>
          <w:b/>
          <w:sz w:val="24"/>
          <w:szCs w:val="24"/>
        </w:rPr>
        <w:t xml:space="preserve">P: ¿Cómo limita la Ley STOP las recetas de medicamentos para el dolor? </w:t>
      </w:r>
    </w:p>
    <w:p w:rsidR="008C4AAF" w:rsidRPr="00DD06DF" w:rsidRDefault="008C4AAF">
      <w:pPr>
        <w:rPr>
          <w:b/>
          <w:sz w:val="24"/>
          <w:szCs w:val="24"/>
        </w:rPr>
      </w:pPr>
    </w:p>
    <w:p w:rsidR="008C4AAF" w:rsidRPr="00DD06DF" w:rsidRDefault="008C4AAF">
      <w:pPr>
        <w:rPr>
          <w:sz w:val="24"/>
          <w:szCs w:val="24"/>
        </w:rPr>
      </w:pPr>
      <w:r>
        <w:rPr>
          <w:sz w:val="24"/>
          <w:szCs w:val="24"/>
        </w:rPr>
        <w:t xml:space="preserve">R: La ley restringe la cantidad de ciertos tipos de medicamentos que pueden ser recetados para el dolor agudo. La Ley STOP limita las recetas iniciales para el </w:t>
      </w:r>
      <w:r>
        <w:rPr>
          <w:b/>
          <w:sz w:val="24"/>
          <w:szCs w:val="24"/>
        </w:rPr>
        <w:t>dolor postoperatorio</w:t>
      </w:r>
      <w:r>
        <w:rPr>
          <w:sz w:val="24"/>
          <w:szCs w:val="24"/>
        </w:rPr>
        <w:t xml:space="preserve"> un </w:t>
      </w:r>
      <w:r>
        <w:rPr>
          <w:b/>
          <w:sz w:val="24"/>
          <w:szCs w:val="24"/>
        </w:rPr>
        <w:t>suministro de no más de 7 días.</w:t>
      </w:r>
      <w:r>
        <w:rPr>
          <w:sz w:val="24"/>
          <w:szCs w:val="24"/>
        </w:rPr>
        <w:t xml:space="preserve"> La ley limita las recetas iniciales para </w:t>
      </w:r>
      <w:r>
        <w:rPr>
          <w:b/>
          <w:sz w:val="24"/>
          <w:szCs w:val="24"/>
        </w:rPr>
        <w:t>todo otro tipo de dolor agudo</w:t>
      </w:r>
      <w:r>
        <w:rPr>
          <w:sz w:val="24"/>
          <w:szCs w:val="24"/>
        </w:rPr>
        <w:t xml:space="preserve"> a un </w:t>
      </w:r>
      <w:r>
        <w:rPr>
          <w:b/>
          <w:sz w:val="24"/>
          <w:szCs w:val="24"/>
        </w:rPr>
        <w:t>suministro de no más de 5 días.</w:t>
      </w:r>
      <w:r>
        <w:rPr>
          <w:sz w:val="24"/>
          <w:szCs w:val="24"/>
        </w:rPr>
        <w:t xml:space="preserve"> </w:t>
      </w:r>
    </w:p>
    <w:p w:rsidR="008A69B3" w:rsidRPr="00DD06DF" w:rsidRDefault="008A69B3">
      <w:pPr>
        <w:rPr>
          <w:sz w:val="24"/>
          <w:szCs w:val="24"/>
        </w:rPr>
      </w:pPr>
    </w:p>
    <w:p w:rsidR="008A69B3" w:rsidRPr="00DD06DF" w:rsidRDefault="008A69B3">
      <w:pPr>
        <w:rPr>
          <w:sz w:val="24"/>
          <w:szCs w:val="24"/>
        </w:rPr>
      </w:pPr>
      <w:r>
        <w:rPr>
          <w:b/>
          <w:sz w:val="24"/>
          <w:szCs w:val="24"/>
        </w:rPr>
        <w:t>P: ¿Las recetas para dolores crónicos están sujetas a estos límites?</w:t>
      </w:r>
    </w:p>
    <w:p w:rsidR="008A69B3" w:rsidRPr="00DD06DF" w:rsidRDefault="008A69B3">
      <w:pPr>
        <w:rPr>
          <w:sz w:val="24"/>
          <w:szCs w:val="24"/>
        </w:rPr>
      </w:pPr>
    </w:p>
    <w:p w:rsidR="008A69B3" w:rsidRPr="00DD06DF" w:rsidRDefault="008A69B3">
      <w:pPr>
        <w:rPr>
          <w:sz w:val="24"/>
          <w:szCs w:val="24"/>
        </w:rPr>
      </w:pPr>
      <w:r>
        <w:rPr>
          <w:sz w:val="24"/>
          <w:szCs w:val="24"/>
        </w:rPr>
        <w:t xml:space="preserve">R: No. </w:t>
      </w:r>
    </w:p>
    <w:p w:rsidR="00430FE1" w:rsidRPr="00DD06DF" w:rsidRDefault="00430FE1">
      <w:pPr>
        <w:rPr>
          <w:sz w:val="24"/>
          <w:szCs w:val="24"/>
        </w:rPr>
      </w:pPr>
    </w:p>
    <w:p w:rsidR="00430FE1" w:rsidRPr="00DD06DF" w:rsidRDefault="00430FE1">
      <w:pPr>
        <w:rPr>
          <w:sz w:val="24"/>
          <w:szCs w:val="24"/>
        </w:rPr>
      </w:pPr>
      <w:r>
        <w:rPr>
          <w:b/>
          <w:sz w:val="24"/>
          <w:szCs w:val="24"/>
        </w:rPr>
        <w:t>P: ¿Qué tipos de medicamentos están sujetos a estos límites?</w:t>
      </w:r>
    </w:p>
    <w:p w:rsidR="00430FE1" w:rsidRPr="00DD06DF" w:rsidRDefault="00430FE1">
      <w:pPr>
        <w:rPr>
          <w:sz w:val="24"/>
          <w:szCs w:val="24"/>
        </w:rPr>
      </w:pPr>
    </w:p>
    <w:p w:rsidR="00430FE1" w:rsidRPr="00DD06DF" w:rsidRDefault="00430FE1">
      <w:pPr>
        <w:rPr>
          <w:sz w:val="24"/>
          <w:szCs w:val="24"/>
        </w:rPr>
      </w:pPr>
      <w:r>
        <w:rPr>
          <w:sz w:val="24"/>
          <w:szCs w:val="24"/>
        </w:rPr>
        <w:t xml:space="preserve">R: Los límites de la Ley STOP solo se aplican a los opioides o narcóticos Schedule II y Schedule III, específicamente cuando se recetan para el dolor agudo. Algunos opioides del Schedule II son el </w:t>
      </w:r>
      <w:proofErr w:type="spellStart"/>
      <w:r>
        <w:rPr>
          <w:sz w:val="24"/>
          <w:szCs w:val="24"/>
        </w:rPr>
        <w:t>OxyContin</w:t>
      </w:r>
      <w:proofErr w:type="spellEnd"/>
      <w:r>
        <w:rPr>
          <w:sz w:val="24"/>
          <w:szCs w:val="24"/>
        </w:rPr>
        <w:t xml:space="preserve"> y el </w:t>
      </w:r>
      <w:proofErr w:type="spellStart"/>
      <w:r>
        <w:rPr>
          <w:sz w:val="24"/>
          <w:szCs w:val="24"/>
        </w:rPr>
        <w:t>Percocet</w:t>
      </w:r>
      <w:proofErr w:type="spellEnd"/>
      <w:r>
        <w:rPr>
          <w:sz w:val="24"/>
          <w:szCs w:val="24"/>
        </w:rPr>
        <w:t xml:space="preserve"> (nombres de marca para la oxicodona). El </w:t>
      </w:r>
      <w:proofErr w:type="spellStart"/>
      <w:r>
        <w:rPr>
          <w:sz w:val="24"/>
          <w:szCs w:val="24"/>
        </w:rPr>
        <w:t>Tylenol</w:t>
      </w:r>
      <w:proofErr w:type="spellEnd"/>
      <w:r>
        <w:rPr>
          <w:sz w:val="24"/>
          <w:szCs w:val="24"/>
        </w:rPr>
        <w:t xml:space="preserve"> </w:t>
      </w:r>
      <w:proofErr w:type="spellStart"/>
      <w:r>
        <w:rPr>
          <w:sz w:val="24"/>
          <w:szCs w:val="24"/>
        </w:rPr>
        <w:t>n.°</w:t>
      </w:r>
      <w:proofErr w:type="spellEnd"/>
      <w:r>
        <w:rPr>
          <w:sz w:val="24"/>
          <w:szCs w:val="24"/>
        </w:rPr>
        <w:t xml:space="preserve"> 3 (acetaminofén y codeína) es un ejemplo de opioide Schedule III. </w:t>
      </w:r>
    </w:p>
    <w:p w:rsidR="008C4AAF" w:rsidRPr="00DD06DF" w:rsidRDefault="008C4AAF">
      <w:pPr>
        <w:rPr>
          <w:sz w:val="24"/>
          <w:szCs w:val="24"/>
        </w:rPr>
      </w:pPr>
    </w:p>
    <w:p w:rsidR="008C4AAF" w:rsidRPr="00DD06DF" w:rsidRDefault="00430FE1">
      <w:pPr>
        <w:rPr>
          <w:b/>
          <w:sz w:val="24"/>
          <w:szCs w:val="24"/>
        </w:rPr>
      </w:pPr>
      <w:r>
        <w:rPr>
          <w:b/>
          <w:sz w:val="24"/>
          <w:szCs w:val="24"/>
        </w:rPr>
        <w:t>P: ¿Les pueden volver a reabastecer la receta a los pacientes que aún sientan dolor después de terminar una receta inicial?</w:t>
      </w:r>
    </w:p>
    <w:p w:rsidR="00430FE1" w:rsidRPr="00DD06DF" w:rsidRDefault="00430FE1">
      <w:pPr>
        <w:rPr>
          <w:b/>
          <w:sz w:val="24"/>
          <w:szCs w:val="24"/>
        </w:rPr>
      </w:pPr>
    </w:p>
    <w:p w:rsidR="00430FE1" w:rsidRDefault="008A69B3">
      <w:pPr>
        <w:rPr>
          <w:sz w:val="24"/>
          <w:szCs w:val="24"/>
        </w:rPr>
      </w:pPr>
      <w:r>
        <w:rPr>
          <w:sz w:val="24"/>
          <w:szCs w:val="24"/>
        </w:rPr>
        <w:t>R: Sí. Los pacientes que aún sufren dolor agudo después de terminar su suministro de 5 o 7 días tienen que comunicarse con el consultorio. La persona que recetó el medicamento puede emitir la orden de reabastecimiento, si determina que es necesario.</w:t>
      </w:r>
    </w:p>
    <w:p w:rsidR="00DD06DF" w:rsidRDefault="00DD06DF">
      <w:pPr>
        <w:rPr>
          <w:sz w:val="24"/>
          <w:szCs w:val="24"/>
        </w:rPr>
      </w:pPr>
    </w:p>
    <w:p w:rsidR="00DD06DF" w:rsidRPr="003D62A0" w:rsidRDefault="00DD06DF">
      <w:pPr>
        <w:rPr>
          <w:spacing w:val="-6"/>
          <w:sz w:val="26"/>
          <w:szCs w:val="26"/>
        </w:rPr>
      </w:pPr>
      <w:r w:rsidRPr="003D62A0">
        <w:rPr>
          <w:spacing w:val="-6"/>
          <w:sz w:val="24"/>
          <w:szCs w:val="24"/>
        </w:rPr>
        <w:t>Para aprender más sobre la Ley STOP y otras iniciativas sobre opioides, visite: www.ncmedboard.org/safeopioids</w:t>
      </w:r>
    </w:p>
    <w:sectPr w:rsidR="00DD06DF" w:rsidRPr="003D62A0" w:rsidSect="00DD06DF">
      <w:headerReference w:type="default" r:id="rId6"/>
      <w:footerReference w:type="default" r:id="rId7"/>
      <w:pgSz w:w="12240" w:h="15840"/>
      <w:pgMar w:top="3690" w:right="1080" w:bottom="1080" w:left="1080" w:header="720" w:footer="4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F73" w:rsidRDefault="001C0F73" w:rsidP="00436477">
      <w:r>
        <w:separator/>
      </w:r>
    </w:p>
  </w:endnote>
  <w:endnote w:type="continuationSeparator" w:id="0">
    <w:p w:rsidR="001C0F73" w:rsidRDefault="001C0F73" w:rsidP="00436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477" w:rsidRPr="003D62A0" w:rsidRDefault="006402EB" w:rsidP="00DD06DF">
    <w:pPr>
      <w:pStyle w:val="Footer"/>
      <w:jc w:val="right"/>
      <w:rPr>
        <w:sz w:val="20"/>
        <w:szCs w:val="20"/>
      </w:rPr>
    </w:pPr>
    <w:r w:rsidRPr="003D62A0">
      <w:rPr>
        <w:noProof/>
      </w:rPr>
      <w:drawing>
        <wp:anchor distT="0" distB="0" distL="114300" distR="114300" simplePos="0" relativeHeight="251657728" behindDoc="0" locked="0" layoutInCell="1" allowOverlap="1">
          <wp:simplePos x="0" y="0"/>
          <wp:positionH relativeFrom="margin">
            <wp:posOffset>4781550</wp:posOffset>
          </wp:positionH>
          <wp:positionV relativeFrom="paragraph">
            <wp:posOffset>-301625</wp:posOffset>
          </wp:positionV>
          <wp:extent cx="1619250" cy="285750"/>
          <wp:effectExtent l="0" t="0" r="0" b="0"/>
          <wp:wrapNone/>
          <wp:docPr id="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D62A0">
      <w:rPr>
        <w:noProof/>
      </w:rPr>
      <mc:AlternateContent>
        <mc:Choice Requires="wps">
          <w:drawing>
            <wp:anchor distT="0" distB="0" distL="114300" distR="114300" simplePos="0" relativeHeight="251658752" behindDoc="0" locked="0" layoutInCell="1" allowOverlap="1">
              <wp:simplePos x="0" y="0"/>
              <wp:positionH relativeFrom="column">
                <wp:posOffset>25400</wp:posOffset>
              </wp:positionH>
              <wp:positionV relativeFrom="paragraph">
                <wp:posOffset>-332105</wp:posOffset>
              </wp:positionV>
              <wp:extent cx="2781300" cy="762000"/>
              <wp:effectExtent l="0" t="0" r="0" b="0"/>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300" cy="762000"/>
                      </a:xfrm>
                      <a:prstGeom prst="rect">
                        <a:avLst/>
                      </a:prstGeom>
                      <a:noFill/>
                      <a:ln w="6350">
                        <a:noFill/>
                      </a:ln>
                    </wps:spPr>
                    <wps:txbx>
                      <w:txbxContent>
                        <w:p w:rsidR="00DD06DF" w:rsidRPr="003D62A0" w:rsidRDefault="00DD06DF">
                          <w:pPr>
                            <w:rPr>
                              <w:sz w:val="20"/>
                              <w:szCs w:val="20"/>
                            </w:rPr>
                          </w:pPr>
                          <w:proofErr w:type="spellStart"/>
                          <w:r w:rsidRPr="003D62A0">
                            <w:rPr>
                              <w:sz w:val="20"/>
                              <w:szCs w:val="20"/>
                            </w:rPr>
                            <w:t>Insert</w:t>
                          </w:r>
                          <w:proofErr w:type="spellEnd"/>
                          <w:r w:rsidRPr="003D62A0">
                            <w:rPr>
                              <w:sz w:val="20"/>
                              <w:szCs w:val="20"/>
                            </w:rPr>
                            <w:t xml:space="preserve"> </w:t>
                          </w:r>
                          <w:proofErr w:type="spellStart"/>
                          <w:r w:rsidRPr="003D62A0">
                            <w:rPr>
                              <w:sz w:val="20"/>
                              <w:szCs w:val="20"/>
                            </w:rPr>
                            <w:t>practice</w:t>
                          </w:r>
                          <w:proofErr w:type="spellEnd"/>
                          <w:r w:rsidRPr="003D62A0">
                            <w:rPr>
                              <w:sz w:val="20"/>
                              <w:szCs w:val="20"/>
                            </w:rPr>
                            <w:t xml:space="preserve"> </w:t>
                          </w:r>
                          <w:proofErr w:type="spellStart"/>
                          <w:r w:rsidRPr="003D62A0">
                            <w:rPr>
                              <w:sz w:val="20"/>
                              <w:szCs w:val="20"/>
                            </w:rPr>
                            <w:t>information</w:t>
                          </w:r>
                          <w:proofErr w:type="spellEnd"/>
                          <w:r w:rsidRPr="003D62A0">
                            <w:rPr>
                              <w:sz w:val="20"/>
                              <w:szCs w:val="20"/>
                            </w:rPr>
                            <w:t xml:space="preserve"> </w:t>
                          </w:r>
                          <w:proofErr w:type="spellStart"/>
                          <w:r w:rsidRPr="003D62A0">
                            <w:rPr>
                              <w:sz w:val="20"/>
                              <w:szCs w:val="20"/>
                            </w:rPr>
                            <w:t>here</w:t>
                          </w:r>
                          <w:proofErr w:type="spellEnd"/>
                          <w:r w:rsidRPr="003D62A0">
                            <w:rPr>
                              <w:sz w:val="20"/>
                              <w:szCs w:val="20"/>
                            </w:rPr>
                            <w:t xml:space="preserve"> (</w:t>
                          </w:r>
                          <w:proofErr w:type="spellStart"/>
                          <w:r w:rsidRPr="003D62A0">
                            <w:rPr>
                              <w:sz w:val="20"/>
                              <w:szCs w:val="20"/>
                            </w:rPr>
                            <w:t>if</w:t>
                          </w:r>
                          <w:proofErr w:type="spellEnd"/>
                          <w:r w:rsidRPr="003D62A0">
                            <w:rPr>
                              <w:sz w:val="20"/>
                              <w:szCs w:val="20"/>
                            </w:rPr>
                            <w:t xml:space="preserve"> </w:t>
                          </w:r>
                          <w:proofErr w:type="spellStart"/>
                          <w:r w:rsidRPr="003D62A0">
                            <w:rPr>
                              <w:sz w:val="20"/>
                              <w:szCs w:val="20"/>
                            </w:rPr>
                            <w:t>desired</w:t>
                          </w:r>
                          <w:proofErr w:type="spellEnd"/>
                          <w:r w:rsidRPr="003D62A0">
                            <w:rPr>
                              <w:sz w:val="20"/>
                              <w:szCs w:val="20"/>
                            </w:rPr>
                            <w:t>)</w:t>
                          </w:r>
                        </w:p>
                        <w:p w:rsidR="00DD06DF" w:rsidRPr="003D62A0" w:rsidRDefault="00DD06DF">
                          <w:pPr>
                            <w:rPr>
                              <w:sz w:val="20"/>
                              <w:szCs w:val="20"/>
                            </w:rPr>
                          </w:pPr>
                          <w:r w:rsidRPr="003D62A0">
                            <w:rPr>
                              <w:sz w:val="20"/>
                              <w:szCs w:val="20"/>
                            </w:rPr>
                            <w:t>Dr. John Smith</w:t>
                          </w:r>
                        </w:p>
                        <w:p w:rsidR="00DD06DF" w:rsidRPr="003D62A0" w:rsidRDefault="00DD06DF">
                          <w:pPr>
                            <w:rPr>
                              <w:sz w:val="20"/>
                              <w:szCs w:val="20"/>
                            </w:rPr>
                          </w:pPr>
                          <w:r w:rsidRPr="003D62A0">
                            <w:rPr>
                              <w:sz w:val="20"/>
                              <w:szCs w:val="20"/>
                            </w:rPr>
                            <w:t xml:space="preserve">1234 </w:t>
                          </w:r>
                          <w:proofErr w:type="spellStart"/>
                          <w:r w:rsidRPr="003D62A0">
                            <w:rPr>
                              <w:sz w:val="20"/>
                              <w:szCs w:val="20"/>
                            </w:rPr>
                            <w:t>Physician’s</w:t>
                          </w:r>
                          <w:proofErr w:type="spellEnd"/>
                          <w:r w:rsidRPr="003D62A0">
                            <w:rPr>
                              <w:sz w:val="20"/>
                              <w:szCs w:val="20"/>
                            </w:rPr>
                            <w:t xml:space="preserve"> </w:t>
                          </w:r>
                          <w:proofErr w:type="spellStart"/>
                          <w:r w:rsidRPr="003D62A0">
                            <w:rPr>
                              <w:sz w:val="20"/>
                              <w:szCs w:val="20"/>
                            </w:rPr>
                            <w:t>Way</w:t>
                          </w:r>
                          <w:proofErr w:type="spellEnd"/>
                        </w:p>
                        <w:p w:rsidR="00DD06DF" w:rsidRPr="003D62A0" w:rsidRDefault="00DD06DF">
                          <w:pPr>
                            <w:rPr>
                              <w:sz w:val="20"/>
                              <w:szCs w:val="20"/>
                            </w:rPr>
                          </w:pPr>
                          <w:proofErr w:type="spellStart"/>
                          <w:r w:rsidRPr="003D62A0">
                            <w:rPr>
                              <w:sz w:val="20"/>
                              <w:szCs w:val="20"/>
                            </w:rPr>
                            <w:t>Anytown</w:t>
                          </w:r>
                          <w:proofErr w:type="spellEnd"/>
                          <w:r w:rsidRPr="003D62A0">
                            <w:rPr>
                              <w:sz w:val="20"/>
                              <w:szCs w:val="20"/>
                            </w:rPr>
                            <w:t>, NC 27604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2" o:spid="_x0000_s1026" type="#_x0000_t202" style="position:absolute;left:0;text-align:left;margin-left:2pt;margin-top:-26.15pt;width:219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" filled="f" stroked="f" strokeweight=".5pt">
              <v:textbox>
                <w:txbxContent>
                  <w:p w:rsidR="00DD06DF" w:rsidRPr="003D62A0" w:rsidRDefault="00DD06DF">
                    <w:pPr>
                      <w:rPr>
                        <w:sz w:val="20"/>
                        <w:szCs w:val="20"/>
                      </w:rPr>
                    </w:pPr>
                    <w:proofErr w:type="spellStart"/>
                    <w:r w:rsidRPr="003D62A0">
                      <w:rPr>
                        <w:sz w:val="20"/>
                        <w:szCs w:val="20"/>
                      </w:rPr>
                      <w:t>Insert</w:t>
                    </w:r>
                    <w:proofErr w:type="spellEnd"/>
                    <w:r w:rsidRPr="003D62A0">
                      <w:rPr>
                        <w:sz w:val="20"/>
                        <w:szCs w:val="20"/>
                      </w:rPr>
                      <w:t xml:space="preserve"> </w:t>
                    </w:r>
                    <w:proofErr w:type="spellStart"/>
                    <w:r w:rsidRPr="003D62A0">
                      <w:rPr>
                        <w:sz w:val="20"/>
                        <w:szCs w:val="20"/>
                      </w:rPr>
                      <w:t>practice</w:t>
                    </w:r>
                    <w:proofErr w:type="spellEnd"/>
                    <w:r w:rsidRPr="003D62A0">
                      <w:rPr>
                        <w:sz w:val="20"/>
                        <w:szCs w:val="20"/>
                      </w:rPr>
                      <w:t xml:space="preserve"> </w:t>
                    </w:r>
                    <w:proofErr w:type="spellStart"/>
                    <w:r w:rsidRPr="003D62A0">
                      <w:rPr>
                        <w:sz w:val="20"/>
                        <w:szCs w:val="20"/>
                      </w:rPr>
                      <w:t>information</w:t>
                    </w:r>
                    <w:proofErr w:type="spellEnd"/>
                    <w:r w:rsidRPr="003D62A0">
                      <w:rPr>
                        <w:sz w:val="20"/>
                        <w:szCs w:val="20"/>
                      </w:rPr>
                      <w:t xml:space="preserve"> </w:t>
                    </w:r>
                    <w:proofErr w:type="spellStart"/>
                    <w:r w:rsidRPr="003D62A0">
                      <w:rPr>
                        <w:sz w:val="20"/>
                        <w:szCs w:val="20"/>
                      </w:rPr>
                      <w:t>here</w:t>
                    </w:r>
                    <w:proofErr w:type="spellEnd"/>
                    <w:r w:rsidRPr="003D62A0">
                      <w:rPr>
                        <w:sz w:val="20"/>
                        <w:szCs w:val="20"/>
                      </w:rPr>
                      <w:t xml:space="preserve"> (</w:t>
                    </w:r>
                    <w:proofErr w:type="spellStart"/>
                    <w:r w:rsidRPr="003D62A0">
                      <w:rPr>
                        <w:sz w:val="20"/>
                        <w:szCs w:val="20"/>
                      </w:rPr>
                      <w:t>if</w:t>
                    </w:r>
                    <w:proofErr w:type="spellEnd"/>
                    <w:r w:rsidRPr="003D62A0">
                      <w:rPr>
                        <w:sz w:val="20"/>
                        <w:szCs w:val="20"/>
                      </w:rPr>
                      <w:t xml:space="preserve"> </w:t>
                    </w:r>
                    <w:proofErr w:type="spellStart"/>
                    <w:r w:rsidRPr="003D62A0">
                      <w:rPr>
                        <w:sz w:val="20"/>
                        <w:szCs w:val="20"/>
                      </w:rPr>
                      <w:t>desired</w:t>
                    </w:r>
                    <w:proofErr w:type="spellEnd"/>
                    <w:r w:rsidRPr="003D62A0">
                      <w:rPr>
                        <w:sz w:val="20"/>
                        <w:szCs w:val="20"/>
                      </w:rPr>
                      <w:t>)</w:t>
                    </w:r>
                  </w:p>
                  <w:p w:rsidR="00DD06DF" w:rsidRPr="003D62A0" w:rsidRDefault="00DD06DF">
                    <w:pPr>
                      <w:rPr>
                        <w:sz w:val="20"/>
                        <w:szCs w:val="20"/>
                      </w:rPr>
                    </w:pPr>
                    <w:r w:rsidRPr="003D62A0">
                      <w:rPr>
                        <w:sz w:val="20"/>
                        <w:szCs w:val="20"/>
                      </w:rPr>
                      <w:t>Dr. John Smith</w:t>
                    </w:r>
                  </w:p>
                  <w:p w:rsidR="00DD06DF" w:rsidRPr="003D62A0" w:rsidRDefault="00DD06DF">
                    <w:pPr>
                      <w:rPr>
                        <w:sz w:val="20"/>
                        <w:szCs w:val="20"/>
                      </w:rPr>
                    </w:pPr>
                    <w:r w:rsidRPr="003D62A0">
                      <w:rPr>
                        <w:sz w:val="20"/>
                        <w:szCs w:val="20"/>
                      </w:rPr>
                      <w:t xml:space="preserve">1234 </w:t>
                    </w:r>
                    <w:proofErr w:type="spellStart"/>
                    <w:r w:rsidRPr="003D62A0">
                      <w:rPr>
                        <w:sz w:val="20"/>
                        <w:szCs w:val="20"/>
                      </w:rPr>
                      <w:t>Physician’s</w:t>
                    </w:r>
                    <w:proofErr w:type="spellEnd"/>
                    <w:r w:rsidRPr="003D62A0">
                      <w:rPr>
                        <w:sz w:val="20"/>
                        <w:szCs w:val="20"/>
                      </w:rPr>
                      <w:t xml:space="preserve"> </w:t>
                    </w:r>
                    <w:proofErr w:type="spellStart"/>
                    <w:r w:rsidRPr="003D62A0">
                      <w:rPr>
                        <w:sz w:val="20"/>
                        <w:szCs w:val="20"/>
                      </w:rPr>
                      <w:t>Way</w:t>
                    </w:r>
                    <w:proofErr w:type="spellEnd"/>
                  </w:p>
                  <w:p w:rsidR="00DD06DF" w:rsidRPr="003D62A0" w:rsidRDefault="00DD06DF">
                    <w:pPr>
                      <w:rPr>
                        <w:sz w:val="20"/>
                        <w:szCs w:val="20"/>
                      </w:rPr>
                    </w:pPr>
                    <w:proofErr w:type="spellStart"/>
                    <w:r w:rsidRPr="003D62A0">
                      <w:rPr>
                        <w:sz w:val="20"/>
                        <w:szCs w:val="20"/>
                      </w:rPr>
                      <w:t>Anytown</w:t>
                    </w:r>
                    <w:proofErr w:type="spellEnd"/>
                    <w:r w:rsidRPr="003D62A0">
                      <w:rPr>
                        <w:sz w:val="20"/>
                        <w:szCs w:val="20"/>
                      </w:rPr>
                      <w:t>, NC 27604</w:t>
                    </w:r>
                  </w:p>
                </w:txbxContent>
              </v:textbox>
            </v:shape>
          </w:pict>
        </mc:Fallback>
      </mc:AlternateContent>
    </w:r>
    <w:r w:rsidRPr="003D62A0">
      <w:rPr>
        <w:sz w:val="20"/>
        <w:szCs w:val="20"/>
      </w:rPr>
      <w:t>www.ncmedboard.org</w:t>
    </w:r>
  </w:p>
  <w:p w:rsidR="00DE0A28" w:rsidRPr="003D62A0" w:rsidRDefault="00DE0A28" w:rsidP="00DE0A28">
    <w:pPr>
      <w:pStyle w:val="Footer"/>
      <w:jc w:val="right"/>
      <w:rPr>
        <w:sz w:val="20"/>
        <w:szCs w:val="20"/>
      </w:rPr>
    </w:pPr>
    <w:r w:rsidRPr="003D62A0">
      <w:rPr>
        <w:sz w:val="20"/>
        <w:szCs w:val="20"/>
      </w:rPr>
      <w:t>info@ncmedboard.org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F73" w:rsidRDefault="001C0F73" w:rsidP="00436477">
      <w:r>
        <w:separator/>
      </w:r>
    </w:p>
  </w:footnote>
  <w:footnote w:type="continuationSeparator" w:id="0">
    <w:p w:rsidR="001C0F73" w:rsidRDefault="001C0F73" w:rsidP="00436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477" w:rsidRDefault="006402EB">
    <w:pPr>
      <w:pStyle w:val="Header"/>
    </w:pPr>
    <w:r>
      <w:rPr>
        <w:noProof/>
      </w:rPr>
      <w:drawing>
        <wp:anchor distT="0" distB="0" distL="114300" distR="114300" simplePos="0" relativeHeight="251656704" behindDoc="0" locked="0" layoutInCell="1" allowOverlap="1">
          <wp:simplePos x="0" y="0"/>
          <wp:positionH relativeFrom="margin">
            <wp:align>center</wp:align>
          </wp:positionH>
          <wp:positionV relativeFrom="paragraph">
            <wp:posOffset>-200025</wp:posOffset>
          </wp:positionV>
          <wp:extent cx="7040880" cy="1705610"/>
          <wp:effectExtent l="0" t="0" r="0" b="0"/>
          <wp:wrapNone/>
          <wp:docPr id="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0880" cy="17056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AAF"/>
    <w:rsid w:val="000016F5"/>
    <w:rsid w:val="00033DAA"/>
    <w:rsid w:val="000B57F8"/>
    <w:rsid w:val="000D37A2"/>
    <w:rsid w:val="00145C04"/>
    <w:rsid w:val="001C0F73"/>
    <w:rsid w:val="00212C64"/>
    <w:rsid w:val="00261098"/>
    <w:rsid w:val="00315835"/>
    <w:rsid w:val="003D62A0"/>
    <w:rsid w:val="004047CA"/>
    <w:rsid w:val="00430FE1"/>
    <w:rsid w:val="00434D63"/>
    <w:rsid w:val="00436477"/>
    <w:rsid w:val="004F05D2"/>
    <w:rsid w:val="0052056E"/>
    <w:rsid w:val="00595A36"/>
    <w:rsid w:val="006402EB"/>
    <w:rsid w:val="00661B89"/>
    <w:rsid w:val="00707FE6"/>
    <w:rsid w:val="008A69B3"/>
    <w:rsid w:val="008C4AAF"/>
    <w:rsid w:val="009B49E5"/>
    <w:rsid w:val="009E4BDE"/>
    <w:rsid w:val="00A90CF0"/>
    <w:rsid w:val="00AC6F0A"/>
    <w:rsid w:val="00B20FB5"/>
    <w:rsid w:val="00BC018F"/>
    <w:rsid w:val="00C244D2"/>
    <w:rsid w:val="00C636ED"/>
    <w:rsid w:val="00D87606"/>
    <w:rsid w:val="00DC39C0"/>
    <w:rsid w:val="00DD06DF"/>
    <w:rsid w:val="00DE0A28"/>
    <w:rsid w:val="00E6340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1F449A8-0AE7-49C8-AE3D-296AD48CA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477"/>
    <w:pPr>
      <w:tabs>
        <w:tab w:val="center" w:pos="4680"/>
        <w:tab w:val="right" w:pos="9360"/>
      </w:tabs>
    </w:pPr>
  </w:style>
  <w:style w:type="character" w:customStyle="1" w:styleId="HeaderChar">
    <w:name w:val="Header Char"/>
    <w:basedOn w:val="DefaultParagraphFont"/>
    <w:link w:val="Header"/>
    <w:uiPriority w:val="99"/>
    <w:rsid w:val="00436477"/>
  </w:style>
  <w:style w:type="paragraph" w:styleId="Footer">
    <w:name w:val="footer"/>
    <w:basedOn w:val="Normal"/>
    <w:link w:val="FooterChar"/>
    <w:uiPriority w:val="99"/>
    <w:unhideWhenUsed/>
    <w:rsid w:val="00436477"/>
    <w:pPr>
      <w:tabs>
        <w:tab w:val="center" w:pos="4680"/>
        <w:tab w:val="right" w:pos="9360"/>
      </w:tabs>
    </w:pPr>
  </w:style>
  <w:style w:type="character" w:customStyle="1" w:styleId="FooterChar">
    <w:name w:val="Footer Char"/>
    <w:basedOn w:val="DefaultParagraphFont"/>
    <w:link w:val="Footer"/>
    <w:uiPriority w:val="99"/>
    <w:rsid w:val="00436477"/>
  </w:style>
  <w:style w:type="character" w:styleId="Hyperlink">
    <w:name w:val="Hyperlink"/>
    <w:uiPriority w:val="99"/>
    <w:unhideWhenUsed/>
    <w:rsid w:val="00DE0A28"/>
    <w:rPr>
      <w:color w:val="0000FF"/>
      <w:u w:val="single"/>
    </w:rPr>
  </w:style>
  <w:style w:type="character" w:styleId="UnresolvedMention">
    <w:name w:val="Unresolved Mention"/>
    <w:uiPriority w:val="99"/>
    <w:semiHidden/>
    <w:unhideWhenUsed/>
    <w:rsid w:val="00DE0A28"/>
    <w:rPr>
      <w:color w:val="808080"/>
      <w:shd w:val="clear" w:color="auto" w:fill="E6E6E6"/>
    </w:rPr>
  </w:style>
  <w:style w:type="paragraph" w:styleId="BalloonText">
    <w:name w:val="Balloon Text"/>
    <w:basedOn w:val="Normal"/>
    <w:link w:val="BalloonTextChar"/>
    <w:uiPriority w:val="99"/>
    <w:semiHidden/>
    <w:unhideWhenUsed/>
    <w:rsid w:val="00595A36"/>
    <w:rPr>
      <w:rFonts w:ascii="Segoe UI" w:hAnsi="Segoe UI" w:cs="Segoe UI"/>
      <w:sz w:val="18"/>
      <w:szCs w:val="18"/>
    </w:rPr>
  </w:style>
  <w:style w:type="character" w:customStyle="1" w:styleId="BalloonTextChar">
    <w:name w:val="Balloon Text Char"/>
    <w:link w:val="BalloonText"/>
    <w:uiPriority w:val="99"/>
    <w:semiHidden/>
    <w:rsid w:val="00595A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F. Brinkley</dc:creator>
  <cp:keywords/>
  <dc:description/>
  <cp:lastModifiedBy>Jean F. Brinkley</cp:lastModifiedBy>
  <cp:revision>2</cp:revision>
  <cp:lastPrinted>2018-01-12T20:58:00Z</cp:lastPrinted>
  <dcterms:created xsi:type="dcterms:W3CDTF">2018-01-24T14:54:00Z</dcterms:created>
  <dcterms:modified xsi:type="dcterms:W3CDTF">2018-01-24T14:54:00Z</dcterms:modified>
</cp:coreProperties>
</file>