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AF" w:rsidRPr="00DE0A28" w:rsidRDefault="008A69B3">
      <w:pPr>
        <w:rPr>
          <w:sz w:val="40"/>
          <w:szCs w:val="40"/>
        </w:rPr>
      </w:pPr>
      <w:r w:rsidRPr="00DE0A28">
        <w:rPr>
          <w:b/>
          <w:sz w:val="40"/>
          <w:szCs w:val="40"/>
        </w:rPr>
        <w:t>NOTICE TO PATIENTS:</w:t>
      </w:r>
      <w:r w:rsidRPr="00DE0A28">
        <w:rPr>
          <w:sz w:val="40"/>
          <w:szCs w:val="40"/>
        </w:rPr>
        <w:t xml:space="preserve"> </w:t>
      </w:r>
      <w:r w:rsidR="00DE0A28" w:rsidRPr="00DE0A28">
        <w:rPr>
          <w:b/>
          <w:sz w:val="40"/>
          <w:szCs w:val="40"/>
        </w:rPr>
        <w:t>New limits on prescriptions for acute and post-operative pain</w:t>
      </w:r>
    </w:p>
    <w:p w:rsidR="008A69B3" w:rsidRPr="00DE0A28" w:rsidRDefault="008A69B3">
      <w:pPr>
        <w:rPr>
          <w:sz w:val="24"/>
          <w:szCs w:val="24"/>
        </w:rPr>
      </w:pPr>
    </w:p>
    <w:p w:rsidR="008C4AAF" w:rsidRPr="00DD06DF" w:rsidRDefault="008C4AAF">
      <w:pPr>
        <w:rPr>
          <w:sz w:val="24"/>
          <w:szCs w:val="24"/>
        </w:rPr>
      </w:pPr>
      <w:r w:rsidRPr="00DD06DF">
        <w:rPr>
          <w:sz w:val="24"/>
          <w:szCs w:val="24"/>
        </w:rPr>
        <w:t xml:space="preserve">Effective Jan. 1, 2018, North Carolina law (the STOP Act of 2017) limits the amount of pain </w:t>
      </w:r>
      <w:r w:rsidR="00212C64">
        <w:rPr>
          <w:sz w:val="24"/>
          <w:szCs w:val="24"/>
        </w:rPr>
        <w:t xml:space="preserve">medication that may be </w:t>
      </w:r>
      <w:r w:rsidR="008A69B3" w:rsidRPr="00DD06DF">
        <w:rPr>
          <w:sz w:val="24"/>
          <w:szCs w:val="24"/>
        </w:rPr>
        <w:t>prescribed to treat pain from</w:t>
      </w:r>
      <w:r w:rsidRPr="00DD06DF">
        <w:rPr>
          <w:sz w:val="24"/>
          <w:szCs w:val="24"/>
        </w:rPr>
        <w:t xml:space="preserve"> most injuries and surgeries. </w:t>
      </w:r>
    </w:p>
    <w:p w:rsidR="008C4AAF" w:rsidRPr="00DD06DF" w:rsidRDefault="008C4AAF">
      <w:pPr>
        <w:rPr>
          <w:sz w:val="24"/>
          <w:szCs w:val="24"/>
        </w:rPr>
      </w:pPr>
    </w:p>
    <w:p w:rsidR="008C4AAF" w:rsidRPr="00DD06DF" w:rsidRDefault="008C4AAF">
      <w:pPr>
        <w:rPr>
          <w:b/>
          <w:sz w:val="24"/>
          <w:szCs w:val="24"/>
        </w:rPr>
      </w:pPr>
      <w:r w:rsidRPr="00DD06DF">
        <w:rPr>
          <w:b/>
          <w:sz w:val="24"/>
          <w:szCs w:val="24"/>
        </w:rPr>
        <w:t xml:space="preserve">Q: How does the STOP Act limit pain prescriptions? </w:t>
      </w:r>
    </w:p>
    <w:p w:rsidR="008C4AAF" w:rsidRPr="00DD06DF" w:rsidRDefault="008C4AAF">
      <w:pPr>
        <w:rPr>
          <w:b/>
          <w:sz w:val="24"/>
          <w:szCs w:val="24"/>
        </w:rPr>
      </w:pPr>
    </w:p>
    <w:p w:rsidR="008C4AAF" w:rsidRPr="00DD06DF" w:rsidRDefault="008C4AAF">
      <w:pPr>
        <w:rPr>
          <w:sz w:val="24"/>
          <w:szCs w:val="24"/>
        </w:rPr>
      </w:pPr>
      <w:r w:rsidRPr="00DD06DF">
        <w:rPr>
          <w:sz w:val="24"/>
          <w:szCs w:val="24"/>
        </w:rPr>
        <w:t>A: The l</w:t>
      </w:r>
      <w:r w:rsidR="00430FE1" w:rsidRPr="00DD06DF">
        <w:rPr>
          <w:sz w:val="24"/>
          <w:szCs w:val="24"/>
        </w:rPr>
        <w:t xml:space="preserve">aw restricts the amount of certain types of pain </w:t>
      </w:r>
      <w:r w:rsidR="00434D63">
        <w:rPr>
          <w:sz w:val="24"/>
          <w:szCs w:val="24"/>
        </w:rPr>
        <w:t xml:space="preserve">medication that may be </w:t>
      </w:r>
      <w:r w:rsidRPr="00DD06DF">
        <w:rPr>
          <w:sz w:val="24"/>
          <w:szCs w:val="24"/>
        </w:rPr>
        <w:t>prescribed for acute pain. The STOP Act l</w:t>
      </w:r>
      <w:r w:rsidR="00430FE1" w:rsidRPr="00DD06DF">
        <w:rPr>
          <w:sz w:val="24"/>
          <w:szCs w:val="24"/>
        </w:rPr>
        <w:t>imits initial pre</w:t>
      </w:r>
      <w:r w:rsidR="00BC018F">
        <w:rPr>
          <w:sz w:val="24"/>
          <w:szCs w:val="24"/>
        </w:rPr>
        <w:t xml:space="preserve">scriptions for </w:t>
      </w:r>
      <w:r w:rsidR="00BC018F" w:rsidRPr="00BC018F">
        <w:rPr>
          <w:b/>
          <w:sz w:val="24"/>
          <w:szCs w:val="24"/>
        </w:rPr>
        <w:t>post-operative pain</w:t>
      </w:r>
      <w:r w:rsidR="00430FE1" w:rsidRPr="00DD06DF">
        <w:rPr>
          <w:sz w:val="24"/>
          <w:szCs w:val="24"/>
        </w:rPr>
        <w:t xml:space="preserve"> to no more than a </w:t>
      </w:r>
      <w:r w:rsidR="00430FE1" w:rsidRPr="00DD06DF">
        <w:rPr>
          <w:b/>
          <w:sz w:val="24"/>
          <w:szCs w:val="24"/>
        </w:rPr>
        <w:t>7-day supply</w:t>
      </w:r>
      <w:r w:rsidR="00430FE1" w:rsidRPr="00DD06DF">
        <w:rPr>
          <w:sz w:val="24"/>
          <w:szCs w:val="24"/>
        </w:rPr>
        <w:t xml:space="preserve">. The Act limits initial prescriptions for </w:t>
      </w:r>
      <w:r w:rsidR="00430FE1" w:rsidRPr="00DD06DF">
        <w:rPr>
          <w:b/>
          <w:sz w:val="24"/>
          <w:szCs w:val="24"/>
        </w:rPr>
        <w:t>all other types of acute pain</w:t>
      </w:r>
      <w:r w:rsidR="00430FE1" w:rsidRPr="00DD06DF">
        <w:rPr>
          <w:sz w:val="24"/>
          <w:szCs w:val="24"/>
        </w:rPr>
        <w:t xml:space="preserve"> to no more than a </w:t>
      </w:r>
      <w:r w:rsidR="00430FE1" w:rsidRPr="00DD06DF">
        <w:rPr>
          <w:b/>
          <w:sz w:val="24"/>
          <w:szCs w:val="24"/>
        </w:rPr>
        <w:t>5-day supply</w:t>
      </w:r>
      <w:r w:rsidR="00430FE1" w:rsidRPr="00DD06DF">
        <w:rPr>
          <w:sz w:val="24"/>
          <w:szCs w:val="24"/>
        </w:rPr>
        <w:t xml:space="preserve">. </w:t>
      </w:r>
    </w:p>
    <w:p w:rsidR="008A69B3" w:rsidRPr="00DD06DF" w:rsidRDefault="008A69B3">
      <w:pPr>
        <w:rPr>
          <w:sz w:val="24"/>
          <w:szCs w:val="24"/>
        </w:rPr>
      </w:pPr>
    </w:p>
    <w:p w:rsidR="008A69B3" w:rsidRPr="00DD06DF" w:rsidRDefault="008A69B3">
      <w:pPr>
        <w:rPr>
          <w:sz w:val="24"/>
          <w:szCs w:val="24"/>
        </w:rPr>
      </w:pPr>
      <w:r w:rsidRPr="00DD06DF">
        <w:rPr>
          <w:b/>
          <w:sz w:val="24"/>
          <w:szCs w:val="24"/>
        </w:rPr>
        <w:t>Q: Are prescriptions for chronic pain subject to the limits?</w:t>
      </w:r>
    </w:p>
    <w:p w:rsidR="008A69B3" w:rsidRPr="00DD06DF" w:rsidRDefault="008A69B3">
      <w:pPr>
        <w:rPr>
          <w:sz w:val="24"/>
          <w:szCs w:val="24"/>
        </w:rPr>
      </w:pPr>
    </w:p>
    <w:p w:rsidR="008A69B3" w:rsidRPr="00DD06DF" w:rsidRDefault="008A69B3">
      <w:pPr>
        <w:rPr>
          <w:sz w:val="24"/>
          <w:szCs w:val="24"/>
        </w:rPr>
      </w:pPr>
      <w:r w:rsidRPr="00DD06DF">
        <w:rPr>
          <w:sz w:val="24"/>
          <w:szCs w:val="24"/>
        </w:rPr>
        <w:t xml:space="preserve">A: No. </w:t>
      </w:r>
    </w:p>
    <w:p w:rsidR="00430FE1" w:rsidRPr="00DD06DF" w:rsidRDefault="00430FE1">
      <w:pPr>
        <w:rPr>
          <w:sz w:val="24"/>
          <w:szCs w:val="24"/>
        </w:rPr>
      </w:pPr>
    </w:p>
    <w:p w:rsidR="00430FE1" w:rsidRPr="00DD06DF" w:rsidRDefault="00430FE1">
      <w:pPr>
        <w:rPr>
          <w:sz w:val="24"/>
          <w:szCs w:val="24"/>
        </w:rPr>
      </w:pPr>
      <w:r w:rsidRPr="00DD06DF">
        <w:rPr>
          <w:b/>
          <w:sz w:val="24"/>
          <w:szCs w:val="24"/>
        </w:rPr>
        <w:t>Q: What types of medications are subject to the limits?</w:t>
      </w:r>
    </w:p>
    <w:p w:rsidR="00430FE1" w:rsidRPr="00DD06DF" w:rsidRDefault="00430FE1">
      <w:pPr>
        <w:rPr>
          <w:sz w:val="24"/>
          <w:szCs w:val="24"/>
        </w:rPr>
      </w:pPr>
    </w:p>
    <w:p w:rsidR="00430FE1" w:rsidRPr="00DD06DF" w:rsidRDefault="00430FE1">
      <w:pPr>
        <w:rPr>
          <w:sz w:val="24"/>
          <w:szCs w:val="24"/>
        </w:rPr>
      </w:pPr>
      <w:r w:rsidRPr="00DD06DF">
        <w:rPr>
          <w:sz w:val="24"/>
          <w:szCs w:val="24"/>
        </w:rPr>
        <w:t>A: The STOP Act limits apply only to Schedule II and Schedule III opioids or narcotics</w:t>
      </w:r>
      <w:r w:rsidR="00434D63">
        <w:rPr>
          <w:sz w:val="24"/>
          <w:szCs w:val="24"/>
        </w:rPr>
        <w:t>, specifically when they are prescribed for acute pain</w:t>
      </w:r>
      <w:r w:rsidRPr="00DD06DF">
        <w:rPr>
          <w:sz w:val="24"/>
          <w:szCs w:val="24"/>
        </w:rPr>
        <w:t xml:space="preserve">. </w:t>
      </w:r>
      <w:r w:rsidR="008A69B3" w:rsidRPr="00DD06DF">
        <w:rPr>
          <w:sz w:val="24"/>
          <w:szCs w:val="24"/>
        </w:rPr>
        <w:t>Examples of Schedule II opioids include OxyContin and Percocet (</w:t>
      </w:r>
      <w:r w:rsidR="00D87606" w:rsidRPr="00DD06DF">
        <w:rPr>
          <w:sz w:val="24"/>
          <w:szCs w:val="24"/>
        </w:rPr>
        <w:t xml:space="preserve">brand names for </w:t>
      </w:r>
      <w:r w:rsidR="00315835">
        <w:rPr>
          <w:sz w:val="24"/>
          <w:szCs w:val="24"/>
        </w:rPr>
        <w:t>oxycodone</w:t>
      </w:r>
      <w:r w:rsidR="00D87606" w:rsidRPr="00DD06DF">
        <w:rPr>
          <w:sz w:val="24"/>
          <w:szCs w:val="24"/>
        </w:rPr>
        <w:t>)</w:t>
      </w:r>
      <w:r w:rsidRPr="00DD06DF">
        <w:rPr>
          <w:sz w:val="24"/>
          <w:szCs w:val="24"/>
        </w:rPr>
        <w:t xml:space="preserve">. </w:t>
      </w:r>
      <w:r w:rsidR="00261098">
        <w:rPr>
          <w:sz w:val="24"/>
          <w:szCs w:val="24"/>
        </w:rPr>
        <w:t>Tylenol #3</w:t>
      </w:r>
      <w:r w:rsidR="008A69B3" w:rsidRPr="00DD06DF">
        <w:rPr>
          <w:sz w:val="24"/>
          <w:szCs w:val="24"/>
        </w:rPr>
        <w:t xml:space="preserve"> (</w:t>
      </w:r>
      <w:r w:rsidR="004047CA" w:rsidRPr="00DD06DF">
        <w:rPr>
          <w:sz w:val="24"/>
          <w:szCs w:val="24"/>
        </w:rPr>
        <w:t>acetaminophen</w:t>
      </w:r>
      <w:r w:rsidR="00BC018F">
        <w:rPr>
          <w:sz w:val="24"/>
          <w:szCs w:val="24"/>
        </w:rPr>
        <w:t xml:space="preserve"> and codeine</w:t>
      </w:r>
      <w:r w:rsidR="008A69B3" w:rsidRPr="00DD06DF">
        <w:rPr>
          <w:sz w:val="24"/>
          <w:szCs w:val="24"/>
        </w:rPr>
        <w:t xml:space="preserve">) is an example of a Schedule III opioid. </w:t>
      </w:r>
    </w:p>
    <w:p w:rsidR="008C4AAF" w:rsidRPr="00DD06DF" w:rsidRDefault="008C4AAF">
      <w:pPr>
        <w:rPr>
          <w:sz w:val="24"/>
          <w:szCs w:val="24"/>
        </w:rPr>
      </w:pPr>
      <w:bookmarkStart w:id="0" w:name="_GoBack"/>
      <w:bookmarkEnd w:id="0"/>
    </w:p>
    <w:p w:rsidR="008C4AAF" w:rsidRPr="00DD06DF" w:rsidRDefault="00430FE1">
      <w:pPr>
        <w:rPr>
          <w:b/>
          <w:sz w:val="24"/>
          <w:szCs w:val="24"/>
        </w:rPr>
      </w:pPr>
      <w:r w:rsidRPr="00DD06DF">
        <w:rPr>
          <w:b/>
          <w:sz w:val="24"/>
          <w:szCs w:val="24"/>
        </w:rPr>
        <w:t>Q: Can patients</w:t>
      </w:r>
      <w:r w:rsidR="00033DAA">
        <w:rPr>
          <w:b/>
          <w:sz w:val="24"/>
          <w:szCs w:val="24"/>
        </w:rPr>
        <w:t xml:space="preserve"> who are still in pain after finishing an</w:t>
      </w:r>
      <w:r w:rsidRPr="00DD06DF">
        <w:rPr>
          <w:b/>
          <w:sz w:val="24"/>
          <w:szCs w:val="24"/>
        </w:rPr>
        <w:t xml:space="preserve"> in</w:t>
      </w:r>
      <w:r w:rsidR="00033DAA">
        <w:rPr>
          <w:b/>
          <w:sz w:val="24"/>
          <w:szCs w:val="24"/>
        </w:rPr>
        <w:t xml:space="preserve">itial prescription </w:t>
      </w:r>
      <w:r w:rsidR="00E63408">
        <w:rPr>
          <w:b/>
          <w:sz w:val="24"/>
          <w:szCs w:val="24"/>
        </w:rPr>
        <w:t>get</w:t>
      </w:r>
      <w:r w:rsidRPr="00DD06DF">
        <w:rPr>
          <w:b/>
          <w:sz w:val="24"/>
          <w:szCs w:val="24"/>
        </w:rPr>
        <w:t xml:space="preserve"> a refill?</w:t>
      </w:r>
    </w:p>
    <w:p w:rsidR="00430FE1" w:rsidRPr="00DD06DF" w:rsidRDefault="00430FE1">
      <w:pPr>
        <w:rPr>
          <w:b/>
          <w:sz w:val="24"/>
          <w:szCs w:val="24"/>
        </w:rPr>
      </w:pPr>
    </w:p>
    <w:p w:rsidR="00430FE1" w:rsidRDefault="008A69B3">
      <w:pPr>
        <w:rPr>
          <w:sz w:val="24"/>
          <w:szCs w:val="24"/>
        </w:rPr>
      </w:pPr>
      <w:r w:rsidRPr="00DD06DF">
        <w:rPr>
          <w:sz w:val="24"/>
          <w:szCs w:val="24"/>
        </w:rPr>
        <w:t>A: Yes. Acute pain p</w:t>
      </w:r>
      <w:r w:rsidR="00430FE1" w:rsidRPr="00DD06DF">
        <w:rPr>
          <w:sz w:val="24"/>
          <w:szCs w:val="24"/>
        </w:rPr>
        <w:t xml:space="preserve">atients who are still hurting </w:t>
      </w:r>
      <w:r w:rsidR="00033DAA">
        <w:rPr>
          <w:sz w:val="24"/>
          <w:szCs w:val="24"/>
        </w:rPr>
        <w:t xml:space="preserve">after finishing a 5- or 7-day supply </w:t>
      </w:r>
      <w:r w:rsidR="00430FE1" w:rsidRPr="00DD06DF">
        <w:rPr>
          <w:sz w:val="24"/>
          <w:szCs w:val="24"/>
        </w:rPr>
        <w:t>sh</w:t>
      </w:r>
      <w:r w:rsidR="00033DAA">
        <w:rPr>
          <w:sz w:val="24"/>
          <w:szCs w:val="24"/>
        </w:rPr>
        <w:t>ould contact the practice</w:t>
      </w:r>
      <w:r w:rsidRPr="00DD06DF">
        <w:rPr>
          <w:sz w:val="24"/>
          <w:szCs w:val="24"/>
        </w:rPr>
        <w:t>. The prescriber may</w:t>
      </w:r>
      <w:r w:rsidR="00430FE1" w:rsidRPr="00DD06DF">
        <w:rPr>
          <w:sz w:val="24"/>
          <w:szCs w:val="24"/>
        </w:rPr>
        <w:t xml:space="preserve"> issue an appropriate refill, if he or she de</w:t>
      </w:r>
      <w:r w:rsidR="00DE0A28" w:rsidRPr="00DD06DF">
        <w:rPr>
          <w:sz w:val="24"/>
          <w:szCs w:val="24"/>
        </w:rPr>
        <w:t>termines one is needed.</w:t>
      </w:r>
    </w:p>
    <w:p w:rsidR="00DD06DF" w:rsidRDefault="00DD06DF">
      <w:pPr>
        <w:rPr>
          <w:sz w:val="24"/>
          <w:szCs w:val="24"/>
        </w:rPr>
      </w:pPr>
    </w:p>
    <w:p w:rsidR="00DD06DF" w:rsidRPr="00DE0A28" w:rsidRDefault="00DD06DF">
      <w:pPr>
        <w:rPr>
          <w:sz w:val="26"/>
          <w:szCs w:val="26"/>
        </w:rPr>
      </w:pPr>
      <w:r>
        <w:rPr>
          <w:sz w:val="24"/>
          <w:szCs w:val="24"/>
        </w:rPr>
        <w:t xml:space="preserve">To learn more about the STOP Act and </w:t>
      </w:r>
      <w:r w:rsidR="00595A36">
        <w:rPr>
          <w:sz w:val="24"/>
          <w:szCs w:val="24"/>
        </w:rPr>
        <w:t xml:space="preserve">other </w:t>
      </w:r>
      <w:r>
        <w:rPr>
          <w:sz w:val="24"/>
          <w:szCs w:val="24"/>
        </w:rPr>
        <w:t>opioid initiatives, visit: www.ncmedboard.org/safeopioids</w:t>
      </w:r>
    </w:p>
    <w:sectPr w:rsidR="00DD06DF" w:rsidRPr="00DE0A28" w:rsidSect="00DD06DF">
      <w:headerReference w:type="default" r:id="rId6"/>
      <w:footerReference w:type="default" r:id="rId7"/>
      <w:pgSz w:w="12240" w:h="15840"/>
      <w:pgMar w:top="3690" w:right="1080" w:bottom="1080" w:left="1080" w:header="720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FB5" w:rsidRDefault="00B20FB5" w:rsidP="00436477">
      <w:r>
        <w:separator/>
      </w:r>
    </w:p>
  </w:endnote>
  <w:endnote w:type="continuationSeparator" w:id="0">
    <w:p w:rsidR="00B20FB5" w:rsidRDefault="00B20FB5" w:rsidP="0043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77" w:rsidRPr="00DC39C0" w:rsidRDefault="006402EB" w:rsidP="00DD06DF">
    <w:pPr>
      <w:pStyle w:val="Footer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4781550</wp:posOffset>
          </wp:positionH>
          <wp:positionV relativeFrom="paragraph">
            <wp:posOffset>-301625</wp:posOffset>
          </wp:positionV>
          <wp:extent cx="1619250" cy="285750"/>
          <wp:effectExtent l="0" t="0" r="0" b="0"/>
          <wp:wrapNone/>
          <wp:docPr id="2" name="Picture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25400</wp:posOffset>
              </wp:positionH>
              <wp:positionV relativeFrom="paragraph">
                <wp:posOffset>-332105</wp:posOffset>
              </wp:positionV>
              <wp:extent cx="2781300" cy="762000"/>
              <wp:effectExtent l="0" t="0" r="0" b="0"/>
              <wp:wrapNone/>
              <wp:docPr id="132" name="Text 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130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D06DF" w:rsidRPr="00DC39C0" w:rsidRDefault="00DD06D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C39C0">
                            <w:rPr>
                              <w:sz w:val="20"/>
                              <w:szCs w:val="20"/>
                            </w:rPr>
                            <w:t xml:space="preserve">Insert </w:t>
                          </w:r>
                          <w:r w:rsidR="00145C04">
                            <w:rPr>
                              <w:sz w:val="20"/>
                              <w:szCs w:val="20"/>
                            </w:rPr>
                            <w:t>p</w:t>
                          </w:r>
                          <w:r w:rsidRPr="00DC39C0">
                            <w:rPr>
                              <w:sz w:val="20"/>
                              <w:szCs w:val="20"/>
                            </w:rPr>
                            <w:t xml:space="preserve">ractice </w:t>
                          </w:r>
                          <w:r w:rsidR="00145C04">
                            <w:rPr>
                              <w:sz w:val="20"/>
                              <w:szCs w:val="20"/>
                            </w:rPr>
                            <w:t>information h</w:t>
                          </w:r>
                          <w:r w:rsidRPr="00DC39C0">
                            <w:rPr>
                              <w:sz w:val="20"/>
                              <w:szCs w:val="20"/>
                            </w:rPr>
                            <w:t>ere (if desired)</w:t>
                          </w:r>
                        </w:p>
                        <w:p w:rsidR="00DD06DF" w:rsidRPr="00DC39C0" w:rsidRDefault="00DD06D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C39C0">
                            <w:rPr>
                              <w:sz w:val="20"/>
                              <w:szCs w:val="20"/>
                            </w:rPr>
                            <w:t>Dr. John Smith</w:t>
                          </w:r>
                        </w:p>
                        <w:p w:rsidR="00DD06DF" w:rsidRPr="00DC39C0" w:rsidRDefault="00DD06D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C39C0">
                            <w:rPr>
                              <w:sz w:val="20"/>
                              <w:szCs w:val="20"/>
                            </w:rPr>
                            <w:t>1234 Physician’s Way</w:t>
                          </w:r>
                        </w:p>
                        <w:p w:rsidR="00DD06DF" w:rsidRPr="00DC39C0" w:rsidRDefault="00DD06D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C39C0">
                            <w:rPr>
                              <w:sz w:val="20"/>
                              <w:szCs w:val="20"/>
                            </w:rPr>
                            <w:t>Anytown, NC 27</w:t>
                          </w:r>
                          <w:r w:rsidR="00DC39C0" w:rsidRPr="00DC39C0">
                            <w:rPr>
                              <w:sz w:val="20"/>
                              <w:szCs w:val="20"/>
                            </w:rPr>
                            <w:t>604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2" o:spid="_x0000_s1026" type="#_x0000_t202" style="position:absolute;left:0;text-align:left;margin-left:2pt;margin-top:-26.15pt;width:219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" filled="f" stroked="f" strokeweight=".5pt">
              <v:textbox>
                <w:txbxContent>
                  <w:p w:rsidR="00DD06DF" w:rsidRPr="00DC39C0" w:rsidRDefault="00DD06DF">
                    <w:pPr>
                      <w:rPr>
                        <w:sz w:val="20"/>
                        <w:szCs w:val="20"/>
                      </w:rPr>
                    </w:pPr>
                    <w:r w:rsidRPr="00DC39C0">
                      <w:rPr>
                        <w:sz w:val="20"/>
                        <w:szCs w:val="20"/>
                      </w:rPr>
                      <w:t xml:space="preserve">Insert </w:t>
                    </w:r>
                    <w:r w:rsidR="00145C04">
                      <w:rPr>
                        <w:sz w:val="20"/>
                        <w:szCs w:val="20"/>
                      </w:rPr>
                      <w:t>p</w:t>
                    </w:r>
                    <w:r w:rsidRPr="00DC39C0">
                      <w:rPr>
                        <w:sz w:val="20"/>
                        <w:szCs w:val="20"/>
                      </w:rPr>
                      <w:t xml:space="preserve">ractice </w:t>
                    </w:r>
                    <w:r w:rsidR="00145C04">
                      <w:rPr>
                        <w:sz w:val="20"/>
                        <w:szCs w:val="20"/>
                      </w:rPr>
                      <w:t>information h</w:t>
                    </w:r>
                    <w:r w:rsidRPr="00DC39C0">
                      <w:rPr>
                        <w:sz w:val="20"/>
                        <w:szCs w:val="20"/>
                      </w:rPr>
                      <w:t>ere (if desired)</w:t>
                    </w:r>
                  </w:p>
                  <w:p w:rsidR="00DD06DF" w:rsidRPr="00DC39C0" w:rsidRDefault="00DD06DF">
                    <w:pPr>
                      <w:rPr>
                        <w:sz w:val="20"/>
                        <w:szCs w:val="20"/>
                      </w:rPr>
                    </w:pPr>
                    <w:r w:rsidRPr="00DC39C0">
                      <w:rPr>
                        <w:sz w:val="20"/>
                        <w:szCs w:val="20"/>
                      </w:rPr>
                      <w:t>Dr. John Smith</w:t>
                    </w:r>
                  </w:p>
                  <w:p w:rsidR="00DD06DF" w:rsidRPr="00DC39C0" w:rsidRDefault="00DD06DF">
                    <w:pPr>
                      <w:rPr>
                        <w:sz w:val="20"/>
                        <w:szCs w:val="20"/>
                      </w:rPr>
                    </w:pPr>
                    <w:r w:rsidRPr="00DC39C0">
                      <w:rPr>
                        <w:sz w:val="20"/>
                        <w:szCs w:val="20"/>
                      </w:rPr>
                      <w:t>1234 Physician’s Way</w:t>
                    </w:r>
                  </w:p>
                  <w:p w:rsidR="00DD06DF" w:rsidRPr="00DC39C0" w:rsidRDefault="00DD06DF">
                    <w:pPr>
                      <w:rPr>
                        <w:sz w:val="20"/>
                        <w:szCs w:val="20"/>
                      </w:rPr>
                    </w:pPr>
                    <w:r w:rsidRPr="00DC39C0">
                      <w:rPr>
                        <w:sz w:val="20"/>
                        <w:szCs w:val="20"/>
                      </w:rPr>
                      <w:t>Anytown, NC 27</w:t>
                    </w:r>
                    <w:r w:rsidR="00DC39C0" w:rsidRPr="00DC39C0">
                      <w:rPr>
                        <w:sz w:val="20"/>
                        <w:szCs w:val="20"/>
                      </w:rPr>
                      <w:t>604</w:t>
                    </w:r>
                  </w:p>
                </w:txbxContent>
              </v:textbox>
            </v:shape>
          </w:pict>
        </mc:Fallback>
      </mc:AlternateContent>
    </w:r>
    <w:r w:rsidR="00DE0A28" w:rsidRPr="00DC39C0">
      <w:rPr>
        <w:sz w:val="20"/>
        <w:szCs w:val="20"/>
      </w:rPr>
      <w:t>www.ncmedboard.org</w:t>
    </w:r>
  </w:p>
  <w:p w:rsidR="00DE0A28" w:rsidRPr="00DC39C0" w:rsidRDefault="00DE0A28" w:rsidP="00DE0A28">
    <w:pPr>
      <w:pStyle w:val="Footer"/>
      <w:jc w:val="right"/>
      <w:rPr>
        <w:sz w:val="20"/>
        <w:szCs w:val="20"/>
      </w:rPr>
    </w:pPr>
    <w:r w:rsidRPr="00DC39C0">
      <w:rPr>
        <w:sz w:val="20"/>
        <w:szCs w:val="20"/>
      </w:rPr>
      <w:t>info@ncmedboard.org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FB5" w:rsidRDefault="00B20FB5" w:rsidP="00436477">
      <w:r>
        <w:separator/>
      </w:r>
    </w:p>
  </w:footnote>
  <w:footnote w:type="continuationSeparator" w:id="0">
    <w:p w:rsidR="00B20FB5" w:rsidRDefault="00B20FB5" w:rsidP="00436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77" w:rsidRDefault="006402EB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-200025</wp:posOffset>
          </wp:positionV>
          <wp:extent cx="7040880" cy="1705610"/>
          <wp:effectExtent l="0" t="0" r="0" b="0"/>
          <wp:wrapNone/>
          <wp:docPr id="3" name="Picture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170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AF"/>
    <w:rsid w:val="000016F5"/>
    <w:rsid w:val="00033DAA"/>
    <w:rsid w:val="000B57F8"/>
    <w:rsid w:val="00145C04"/>
    <w:rsid w:val="00212C64"/>
    <w:rsid w:val="00261098"/>
    <w:rsid w:val="00315835"/>
    <w:rsid w:val="004047CA"/>
    <w:rsid w:val="00430FE1"/>
    <w:rsid w:val="00434D63"/>
    <w:rsid w:val="00436477"/>
    <w:rsid w:val="0052056E"/>
    <w:rsid w:val="00595A36"/>
    <w:rsid w:val="006402EB"/>
    <w:rsid w:val="00661B89"/>
    <w:rsid w:val="00707FE6"/>
    <w:rsid w:val="008A69B3"/>
    <w:rsid w:val="008C4AAF"/>
    <w:rsid w:val="009B49E5"/>
    <w:rsid w:val="00A90CF0"/>
    <w:rsid w:val="00AC6F0A"/>
    <w:rsid w:val="00B20FB5"/>
    <w:rsid w:val="00BC018F"/>
    <w:rsid w:val="00C636ED"/>
    <w:rsid w:val="00D87606"/>
    <w:rsid w:val="00DC39C0"/>
    <w:rsid w:val="00DD06DF"/>
    <w:rsid w:val="00DE0A28"/>
    <w:rsid w:val="00E6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332B6F"/>
  <w15:chartTrackingRefBased/>
  <w15:docId w15:val="{F1F449A8-0AE7-49C8-AE3D-296AD48C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477"/>
  </w:style>
  <w:style w:type="paragraph" w:styleId="Footer">
    <w:name w:val="footer"/>
    <w:basedOn w:val="Normal"/>
    <w:link w:val="FooterChar"/>
    <w:uiPriority w:val="99"/>
    <w:unhideWhenUsed/>
    <w:rsid w:val="00436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477"/>
  </w:style>
  <w:style w:type="character" w:styleId="Hyperlink">
    <w:name w:val="Hyperlink"/>
    <w:uiPriority w:val="99"/>
    <w:unhideWhenUsed/>
    <w:rsid w:val="00DE0A2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E0A2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A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5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F. Brinkley</dc:creator>
  <cp:keywords/>
  <dc:description/>
  <cp:lastModifiedBy>Jean F. Brinkley</cp:lastModifiedBy>
  <cp:revision>3</cp:revision>
  <cp:lastPrinted>2018-01-02T20:13:00Z</cp:lastPrinted>
  <dcterms:created xsi:type="dcterms:W3CDTF">2018-01-04T20:27:00Z</dcterms:created>
  <dcterms:modified xsi:type="dcterms:W3CDTF">2018-01-09T22:07:00Z</dcterms:modified>
</cp:coreProperties>
</file>